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F549BD">
        <w:tblPrEx>
          <w:tblCellMar>
            <w:top w:w="0" w:type="dxa"/>
            <w:bottom w:w="0" w:type="dxa"/>
          </w:tblCellMar>
        </w:tblPrEx>
        <w:trPr>
          <w:tblCellSpacing w:w="60" w:type="dxa"/>
        </w:trPr>
        <w:tc>
          <w:tcPr>
            <w:tcW w:w="1200" w:type="pct"/>
            <w:shd w:val="clear" w:color="auto" w:fill="E7F0F9"/>
          </w:tcPr>
          <w:p w:rsidR="00F549BD" w:rsidRDefault="00DC1E57">
            <w:pPr>
              <w:spacing w:after="0" w:line="240" w:lineRule="auto"/>
            </w:pPr>
            <w:bookmarkStart w:id="0" w:name="_GoBack"/>
            <w:bookmarkEnd w:id="0"/>
            <w:r>
              <w:rPr>
                <w:b/>
              </w:rPr>
              <w:t>RKP broj</w:t>
            </w:r>
          </w:p>
        </w:tc>
        <w:tc>
          <w:tcPr>
            <w:tcW w:w="0" w:type="auto"/>
            <w:shd w:val="clear" w:color="auto" w:fill="E7F0F9"/>
          </w:tcPr>
          <w:p w:rsidR="00F549BD" w:rsidRDefault="00DC1E57">
            <w:pPr>
              <w:spacing w:after="0" w:line="240" w:lineRule="auto"/>
            </w:pPr>
            <w:r>
              <w:t>51378</w:t>
            </w:r>
          </w:p>
        </w:tc>
      </w:tr>
      <w:tr w:rsidR="00F549BD">
        <w:tblPrEx>
          <w:tblCellMar>
            <w:top w:w="0" w:type="dxa"/>
            <w:bottom w:w="0" w:type="dxa"/>
          </w:tblCellMar>
        </w:tblPrEx>
        <w:trPr>
          <w:tblCellSpacing w:w="60" w:type="dxa"/>
        </w:trPr>
        <w:tc>
          <w:tcPr>
            <w:tcW w:w="1200" w:type="pct"/>
            <w:shd w:val="clear" w:color="auto" w:fill="E7F0F9"/>
          </w:tcPr>
          <w:p w:rsidR="00F549BD" w:rsidRDefault="00DC1E57">
            <w:pPr>
              <w:spacing w:after="0" w:line="240" w:lineRule="auto"/>
            </w:pPr>
            <w:r>
              <w:rPr>
                <w:b/>
              </w:rPr>
              <w:t>Naziv obveznika</w:t>
            </w:r>
          </w:p>
        </w:tc>
        <w:tc>
          <w:tcPr>
            <w:tcW w:w="0" w:type="auto"/>
            <w:shd w:val="clear" w:color="auto" w:fill="E7F0F9"/>
          </w:tcPr>
          <w:p w:rsidR="00F549BD" w:rsidRDefault="00DC1E57">
            <w:pPr>
              <w:spacing w:after="0" w:line="240" w:lineRule="auto"/>
            </w:pPr>
            <w:r>
              <w:t>OSNOVNA ŠKOLA LUKA PALJETKA</w:t>
            </w:r>
          </w:p>
        </w:tc>
      </w:tr>
      <w:tr w:rsidR="00F549BD">
        <w:tblPrEx>
          <w:tblCellMar>
            <w:top w:w="0" w:type="dxa"/>
            <w:bottom w:w="0" w:type="dxa"/>
          </w:tblCellMar>
        </w:tblPrEx>
        <w:trPr>
          <w:tblCellSpacing w:w="60" w:type="dxa"/>
        </w:trPr>
        <w:tc>
          <w:tcPr>
            <w:tcW w:w="1200" w:type="pct"/>
            <w:shd w:val="clear" w:color="auto" w:fill="E7F0F9"/>
          </w:tcPr>
          <w:p w:rsidR="00F549BD" w:rsidRDefault="00DC1E57">
            <w:pPr>
              <w:spacing w:after="0" w:line="240" w:lineRule="auto"/>
            </w:pPr>
            <w:r>
              <w:rPr>
                <w:b/>
              </w:rPr>
              <w:t>Razina</w:t>
            </w:r>
          </w:p>
        </w:tc>
        <w:tc>
          <w:tcPr>
            <w:tcW w:w="0" w:type="auto"/>
            <w:shd w:val="clear" w:color="auto" w:fill="E7F0F9"/>
          </w:tcPr>
          <w:p w:rsidR="00F549BD" w:rsidRDefault="00DC1E57">
            <w:pPr>
              <w:spacing w:after="0" w:line="240" w:lineRule="auto"/>
            </w:pPr>
            <w:r>
              <w:t>31</w:t>
            </w:r>
          </w:p>
        </w:tc>
      </w:tr>
    </w:tbl>
    <w:p w:rsidR="00F549BD" w:rsidRDefault="00DC1E57">
      <w:r>
        <w:br/>
      </w:r>
    </w:p>
    <w:p w:rsidR="00F549BD" w:rsidRDefault="00DC1E57">
      <w:pPr>
        <w:spacing w:line="240" w:lineRule="auto"/>
        <w:jc w:val="center"/>
      </w:pPr>
      <w:r>
        <w:rPr>
          <w:b/>
          <w:sz w:val="28"/>
        </w:rPr>
        <w:t>BILJEŠKE UZ FINANCIJSKE IZVJEŠTAJE</w:t>
      </w:r>
    </w:p>
    <w:p w:rsidR="00F549BD" w:rsidRDefault="00DC1E57">
      <w:pPr>
        <w:spacing w:line="240" w:lineRule="auto"/>
        <w:jc w:val="center"/>
      </w:pPr>
      <w:r>
        <w:rPr>
          <w:b/>
          <w:sz w:val="28"/>
        </w:rPr>
        <w:t>ZA RAZDOBLJE</w:t>
      </w:r>
    </w:p>
    <w:p w:rsidR="00F549BD" w:rsidRDefault="00DC1E57">
      <w:pPr>
        <w:spacing w:line="240" w:lineRule="auto"/>
        <w:jc w:val="center"/>
      </w:pPr>
      <w:r>
        <w:rPr>
          <w:b/>
          <w:sz w:val="28"/>
        </w:rPr>
        <w:t>I - VI 2026.</w:t>
      </w:r>
    </w:p>
    <w:p w:rsidR="00F549BD" w:rsidRDefault="00F549BD"/>
    <w:p w:rsidR="00F549BD" w:rsidRDefault="00DC1E57">
      <w:pPr>
        <w:keepNext/>
        <w:spacing w:line="240" w:lineRule="auto"/>
        <w:jc w:val="center"/>
      </w:pPr>
      <w:r>
        <w:rPr>
          <w:b/>
          <w:sz w:val="28"/>
        </w:rPr>
        <w:t>Izvještaj o prihodima i rashodima, primicima i izdacima</w:t>
      </w:r>
    </w:p>
    <w:p w:rsidR="00F549BD" w:rsidRDefault="00DC1E57">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6</w:t>
            </w:r>
          </w:p>
        </w:tc>
        <w:tc>
          <w:tcPr>
            <w:tcW w:w="3180" w:type="dxa"/>
            <w:tcMar>
              <w:top w:w="0" w:type="dxa"/>
              <w:bottom w:w="0" w:type="dxa"/>
            </w:tcMar>
            <w:vAlign w:val="center"/>
          </w:tcPr>
          <w:p w:rsidR="00F549BD" w:rsidRDefault="00DC1E57">
            <w:pPr>
              <w:keepNext/>
              <w:keepLines/>
              <w:spacing w:after="0" w:line="240" w:lineRule="auto"/>
            </w:pPr>
            <w:r>
              <w:rPr>
                <w:sz w:val="18"/>
              </w:rPr>
              <w:t>PRIHODI POSLOVANJA (šifre 61+62+63+64+65+66+67+68)</w:t>
            </w:r>
          </w:p>
        </w:tc>
        <w:tc>
          <w:tcPr>
            <w:tcW w:w="700" w:type="dxa"/>
            <w:tcMar>
              <w:top w:w="0" w:type="dxa"/>
              <w:bottom w:w="0" w:type="dxa"/>
            </w:tcMar>
            <w:vAlign w:val="center"/>
          </w:tcPr>
          <w:p w:rsidR="00F549BD" w:rsidRDefault="00DC1E57">
            <w:pPr>
              <w:keepNext/>
              <w:keepLines/>
              <w:spacing w:after="0" w:line="240" w:lineRule="auto"/>
            </w:pPr>
            <w:r>
              <w:rPr>
                <w:sz w:val="18"/>
              </w:rPr>
              <w:t>6</w:t>
            </w:r>
          </w:p>
        </w:tc>
        <w:tc>
          <w:tcPr>
            <w:tcW w:w="1860" w:type="dxa"/>
            <w:tcMar>
              <w:top w:w="0" w:type="dxa"/>
              <w:bottom w:w="0" w:type="dxa"/>
            </w:tcMar>
            <w:vAlign w:val="center"/>
          </w:tcPr>
          <w:p w:rsidR="00F549BD" w:rsidRDefault="00DC1E57">
            <w:pPr>
              <w:keepNext/>
              <w:keepLines/>
              <w:spacing w:after="0" w:line="240" w:lineRule="auto"/>
              <w:jc w:val="right"/>
            </w:pPr>
            <w:r>
              <w:rPr>
                <w:sz w:val="18"/>
              </w:rPr>
              <w:t>975.568,34</w:t>
            </w:r>
          </w:p>
        </w:tc>
        <w:tc>
          <w:tcPr>
            <w:tcW w:w="1860" w:type="dxa"/>
            <w:tcMar>
              <w:top w:w="0" w:type="dxa"/>
              <w:bottom w:w="0" w:type="dxa"/>
            </w:tcMar>
            <w:vAlign w:val="center"/>
          </w:tcPr>
          <w:p w:rsidR="00F549BD" w:rsidRDefault="00DC1E57">
            <w:pPr>
              <w:keepNext/>
              <w:keepLines/>
              <w:spacing w:after="0" w:line="240" w:lineRule="auto"/>
              <w:jc w:val="right"/>
            </w:pPr>
            <w:r>
              <w:rPr>
                <w:sz w:val="18"/>
              </w:rPr>
              <w:t>1.137.175,14</w:t>
            </w:r>
          </w:p>
        </w:tc>
        <w:tc>
          <w:tcPr>
            <w:tcW w:w="700" w:type="dxa"/>
            <w:tcMar>
              <w:top w:w="0" w:type="dxa"/>
              <w:bottom w:w="0" w:type="dxa"/>
            </w:tcMar>
            <w:vAlign w:val="center"/>
          </w:tcPr>
          <w:p w:rsidR="00F549BD" w:rsidRDefault="00DC1E57">
            <w:pPr>
              <w:keepNext/>
              <w:keepLines/>
              <w:spacing w:after="0" w:line="240" w:lineRule="auto"/>
              <w:jc w:val="right"/>
            </w:pPr>
            <w:r>
              <w:rPr>
                <w:sz w:val="18"/>
              </w:rPr>
              <w:t>116,6</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3</w:t>
            </w:r>
          </w:p>
        </w:tc>
        <w:tc>
          <w:tcPr>
            <w:tcW w:w="3180" w:type="dxa"/>
            <w:tcMar>
              <w:top w:w="0" w:type="dxa"/>
              <w:bottom w:w="0" w:type="dxa"/>
            </w:tcMar>
            <w:vAlign w:val="center"/>
          </w:tcPr>
          <w:p w:rsidR="00F549BD" w:rsidRDefault="00DC1E57">
            <w:pPr>
              <w:keepNext/>
              <w:keepLines/>
              <w:spacing w:after="0" w:line="240" w:lineRule="auto"/>
            </w:pPr>
            <w:r>
              <w:rPr>
                <w:sz w:val="18"/>
              </w:rPr>
              <w:t xml:space="preserve">RASHODI POSLOVANJA (šifre </w:t>
            </w:r>
            <w:r>
              <w:rPr>
                <w:sz w:val="18"/>
              </w:rPr>
              <w:t>31+32+34+35+36+37+38)</w:t>
            </w:r>
          </w:p>
        </w:tc>
        <w:tc>
          <w:tcPr>
            <w:tcW w:w="700" w:type="dxa"/>
            <w:tcMar>
              <w:top w:w="0" w:type="dxa"/>
              <w:bottom w:w="0" w:type="dxa"/>
            </w:tcMar>
            <w:vAlign w:val="center"/>
          </w:tcPr>
          <w:p w:rsidR="00F549BD" w:rsidRDefault="00DC1E57">
            <w:pPr>
              <w:keepNext/>
              <w:keepLines/>
              <w:spacing w:after="0" w:line="240" w:lineRule="auto"/>
            </w:pPr>
            <w:r>
              <w:rPr>
                <w:sz w:val="18"/>
              </w:rPr>
              <w:t>3</w:t>
            </w:r>
          </w:p>
        </w:tc>
        <w:tc>
          <w:tcPr>
            <w:tcW w:w="1860" w:type="dxa"/>
            <w:tcMar>
              <w:top w:w="0" w:type="dxa"/>
              <w:bottom w:w="0" w:type="dxa"/>
            </w:tcMar>
            <w:vAlign w:val="center"/>
          </w:tcPr>
          <w:p w:rsidR="00F549BD" w:rsidRDefault="00DC1E57">
            <w:pPr>
              <w:keepNext/>
              <w:keepLines/>
              <w:spacing w:after="0" w:line="240" w:lineRule="auto"/>
              <w:jc w:val="right"/>
            </w:pPr>
            <w:r>
              <w:rPr>
                <w:sz w:val="18"/>
              </w:rPr>
              <w:t>1.076.039,54</w:t>
            </w:r>
          </w:p>
        </w:tc>
        <w:tc>
          <w:tcPr>
            <w:tcW w:w="1860" w:type="dxa"/>
            <w:tcMar>
              <w:top w:w="0" w:type="dxa"/>
              <w:bottom w:w="0" w:type="dxa"/>
            </w:tcMar>
            <w:vAlign w:val="center"/>
          </w:tcPr>
          <w:p w:rsidR="00F549BD" w:rsidRDefault="00DC1E57">
            <w:pPr>
              <w:keepNext/>
              <w:keepLines/>
              <w:spacing w:after="0" w:line="240" w:lineRule="auto"/>
              <w:jc w:val="right"/>
            </w:pPr>
            <w:r>
              <w:rPr>
                <w:sz w:val="18"/>
              </w:rPr>
              <w:t>1.107.105,50</w:t>
            </w:r>
          </w:p>
        </w:tc>
        <w:tc>
          <w:tcPr>
            <w:tcW w:w="700" w:type="dxa"/>
            <w:tcMar>
              <w:top w:w="0" w:type="dxa"/>
              <w:bottom w:w="0" w:type="dxa"/>
            </w:tcMar>
            <w:vAlign w:val="center"/>
          </w:tcPr>
          <w:p w:rsidR="00F549BD" w:rsidRDefault="00DC1E57">
            <w:pPr>
              <w:keepNext/>
              <w:keepLines/>
              <w:spacing w:after="0" w:line="240" w:lineRule="auto"/>
              <w:jc w:val="right"/>
            </w:pPr>
            <w:r>
              <w:rPr>
                <w:sz w:val="18"/>
              </w:rPr>
              <w:t>102,9</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F549BD">
            <w:pPr>
              <w:keepNext/>
              <w:keepLines/>
              <w:spacing w:after="0" w:line="240" w:lineRule="auto"/>
            </w:pPr>
          </w:p>
        </w:tc>
        <w:tc>
          <w:tcPr>
            <w:tcW w:w="3180" w:type="dxa"/>
            <w:tcMar>
              <w:top w:w="0" w:type="dxa"/>
              <w:bottom w:w="0" w:type="dxa"/>
            </w:tcMar>
            <w:vAlign w:val="center"/>
          </w:tcPr>
          <w:p w:rsidR="00F549BD" w:rsidRDefault="00DC1E57">
            <w:pPr>
              <w:keepNext/>
              <w:keepLines/>
              <w:spacing w:after="0" w:line="240" w:lineRule="auto"/>
            </w:pPr>
            <w:r>
              <w:rPr>
                <w:b/>
                <w:sz w:val="18"/>
              </w:rPr>
              <w:t>VIŠAK PRIHODA POSLOVANJA (šifre 6-Z005)</w:t>
            </w:r>
          </w:p>
        </w:tc>
        <w:tc>
          <w:tcPr>
            <w:tcW w:w="700" w:type="dxa"/>
            <w:tcMar>
              <w:top w:w="0" w:type="dxa"/>
              <w:bottom w:w="0" w:type="dxa"/>
            </w:tcMar>
            <w:vAlign w:val="center"/>
          </w:tcPr>
          <w:p w:rsidR="00F549BD" w:rsidRDefault="00DC1E57">
            <w:pPr>
              <w:keepNext/>
              <w:keepLines/>
              <w:spacing w:after="0" w:line="240" w:lineRule="auto"/>
            </w:pPr>
            <w:r>
              <w:rPr>
                <w:b/>
                <w:sz w:val="18"/>
              </w:rPr>
              <w:t>X001</w:t>
            </w:r>
          </w:p>
        </w:tc>
        <w:tc>
          <w:tcPr>
            <w:tcW w:w="1860" w:type="dxa"/>
            <w:tcMar>
              <w:top w:w="0" w:type="dxa"/>
              <w:bottom w:w="0" w:type="dxa"/>
            </w:tcMar>
            <w:vAlign w:val="center"/>
          </w:tcPr>
          <w:p w:rsidR="00F549BD" w:rsidRDefault="00DC1E57">
            <w:pPr>
              <w:keepNext/>
              <w:keepLines/>
              <w:spacing w:after="0" w:line="240" w:lineRule="auto"/>
              <w:jc w:val="right"/>
            </w:pPr>
            <w:r>
              <w:rPr>
                <w:b/>
                <w:sz w:val="18"/>
              </w:rPr>
              <w:t>0,00</w:t>
            </w:r>
          </w:p>
        </w:tc>
        <w:tc>
          <w:tcPr>
            <w:tcW w:w="1860" w:type="dxa"/>
            <w:tcMar>
              <w:top w:w="0" w:type="dxa"/>
              <w:bottom w:w="0" w:type="dxa"/>
            </w:tcMar>
            <w:vAlign w:val="center"/>
          </w:tcPr>
          <w:p w:rsidR="00F549BD" w:rsidRDefault="00DC1E57">
            <w:pPr>
              <w:keepNext/>
              <w:keepLines/>
              <w:spacing w:after="0" w:line="240" w:lineRule="auto"/>
              <w:jc w:val="right"/>
            </w:pPr>
            <w:r>
              <w:rPr>
                <w:b/>
                <w:sz w:val="18"/>
              </w:rPr>
              <w:t>30.069,64</w:t>
            </w:r>
          </w:p>
        </w:tc>
        <w:tc>
          <w:tcPr>
            <w:tcW w:w="700" w:type="dxa"/>
            <w:tcMar>
              <w:top w:w="0" w:type="dxa"/>
              <w:bottom w:w="0" w:type="dxa"/>
            </w:tcMar>
            <w:vAlign w:val="center"/>
          </w:tcPr>
          <w:p w:rsidR="00F549BD" w:rsidRDefault="00DC1E57">
            <w:pPr>
              <w:keepNext/>
              <w:keepLines/>
              <w:spacing w:after="0" w:line="240" w:lineRule="auto"/>
              <w:jc w:val="right"/>
            </w:pPr>
            <w:r>
              <w:rPr>
                <w:b/>
                <w:sz w:val="18"/>
              </w:rPr>
              <w:t>-</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7</w:t>
            </w:r>
          </w:p>
        </w:tc>
        <w:tc>
          <w:tcPr>
            <w:tcW w:w="3180" w:type="dxa"/>
            <w:tcMar>
              <w:top w:w="0" w:type="dxa"/>
              <w:bottom w:w="0" w:type="dxa"/>
            </w:tcMar>
            <w:vAlign w:val="center"/>
          </w:tcPr>
          <w:p w:rsidR="00F549BD" w:rsidRDefault="00DC1E57">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F549BD" w:rsidRDefault="00DC1E57">
            <w:pPr>
              <w:keepNext/>
              <w:keepLines/>
              <w:spacing w:after="0" w:line="240" w:lineRule="auto"/>
            </w:pPr>
            <w:r>
              <w:rPr>
                <w:sz w:val="18"/>
              </w:rPr>
              <w:t>7</w:t>
            </w:r>
          </w:p>
        </w:tc>
        <w:tc>
          <w:tcPr>
            <w:tcW w:w="1860" w:type="dxa"/>
            <w:tcMar>
              <w:top w:w="0" w:type="dxa"/>
              <w:bottom w:w="0" w:type="dxa"/>
            </w:tcMar>
            <w:vAlign w:val="center"/>
          </w:tcPr>
          <w:p w:rsidR="00F549BD" w:rsidRDefault="00DC1E57">
            <w:pPr>
              <w:keepNext/>
              <w:keepLines/>
              <w:spacing w:after="0" w:line="240" w:lineRule="auto"/>
              <w:jc w:val="right"/>
            </w:pPr>
            <w:r>
              <w:rPr>
                <w:sz w:val="18"/>
              </w:rPr>
              <w:t>0,00</w:t>
            </w:r>
          </w:p>
        </w:tc>
        <w:tc>
          <w:tcPr>
            <w:tcW w:w="1860" w:type="dxa"/>
            <w:tcMar>
              <w:top w:w="0" w:type="dxa"/>
              <w:bottom w:w="0" w:type="dxa"/>
            </w:tcMar>
            <w:vAlign w:val="center"/>
          </w:tcPr>
          <w:p w:rsidR="00F549BD" w:rsidRDefault="00DC1E57">
            <w:pPr>
              <w:keepNext/>
              <w:keepLines/>
              <w:spacing w:after="0" w:line="240" w:lineRule="auto"/>
              <w:jc w:val="right"/>
            </w:pPr>
            <w:r>
              <w:rPr>
                <w:sz w:val="18"/>
              </w:rPr>
              <w:t>0,00</w:t>
            </w:r>
          </w:p>
        </w:tc>
        <w:tc>
          <w:tcPr>
            <w:tcW w:w="700" w:type="dxa"/>
            <w:tcMar>
              <w:top w:w="0" w:type="dxa"/>
              <w:bottom w:w="0" w:type="dxa"/>
            </w:tcMar>
            <w:vAlign w:val="center"/>
          </w:tcPr>
          <w:p w:rsidR="00F549BD" w:rsidRDefault="00DC1E57">
            <w:pPr>
              <w:keepNext/>
              <w:keepLines/>
              <w:spacing w:after="0" w:line="240" w:lineRule="auto"/>
              <w:jc w:val="right"/>
            </w:pPr>
            <w:r>
              <w:rPr>
                <w:sz w:val="18"/>
              </w:rPr>
              <w:t>-</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4</w:t>
            </w:r>
          </w:p>
        </w:tc>
        <w:tc>
          <w:tcPr>
            <w:tcW w:w="3180" w:type="dxa"/>
            <w:tcMar>
              <w:top w:w="0" w:type="dxa"/>
              <w:bottom w:w="0" w:type="dxa"/>
            </w:tcMar>
            <w:vAlign w:val="center"/>
          </w:tcPr>
          <w:p w:rsidR="00F549BD" w:rsidRDefault="00DC1E57">
            <w:pPr>
              <w:keepNext/>
              <w:keepLines/>
              <w:spacing w:after="0" w:line="240" w:lineRule="auto"/>
            </w:pPr>
            <w:r>
              <w:rPr>
                <w:sz w:val="18"/>
              </w:rPr>
              <w:t xml:space="preserve">Rashodi za nabavu nefinancijske imovine (šifre </w:t>
            </w:r>
            <w:r>
              <w:rPr>
                <w:sz w:val="18"/>
              </w:rPr>
              <w:t>41+42+43+44+45)</w:t>
            </w:r>
          </w:p>
        </w:tc>
        <w:tc>
          <w:tcPr>
            <w:tcW w:w="700" w:type="dxa"/>
            <w:tcMar>
              <w:top w:w="0" w:type="dxa"/>
              <w:bottom w:w="0" w:type="dxa"/>
            </w:tcMar>
            <w:vAlign w:val="center"/>
          </w:tcPr>
          <w:p w:rsidR="00F549BD" w:rsidRDefault="00DC1E57">
            <w:pPr>
              <w:keepNext/>
              <w:keepLines/>
              <w:spacing w:after="0" w:line="240" w:lineRule="auto"/>
            </w:pPr>
            <w:r>
              <w:rPr>
                <w:sz w:val="18"/>
              </w:rPr>
              <w:t>4</w:t>
            </w:r>
          </w:p>
        </w:tc>
        <w:tc>
          <w:tcPr>
            <w:tcW w:w="1860" w:type="dxa"/>
            <w:tcMar>
              <w:top w:w="0" w:type="dxa"/>
              <w:bottom w:w="0" w:type="dxa"/>
            </w:tcMar>
            <w:vAlign w:val="center"/>
          </w:tcPr>
          <w:p w:rsidR="00F549BD" w:rsidRDefault="00DC1E57">
            <w:pPr>
              <w:keepNext/>
              <w:keepLines/>
              <w:spacing w:after="0" w:line="240" w:lineRule="auto"/>
              <w:jc w:val="right"/>
            </w:pPr>
            <w:r>
              <w:rPr>
                <w:sz w:val="18"/>
              </w:rPr>
              <w:t>5.145,70</w:t>
            </w:r>
          </w:p>
        </w:tc>
        <w:tc>
          <w:tcPr>
            <w:tcW w:w="1860" w:type="dxa"/>
            <w:tcMar>
              <w:top w:w="0" w:type="dxa"/>
              <w:bottom w:w="0" w:type="dxa"/>
            </w:tcMar>
            <w:vAlign w:val="center"/>
          </w:tcPr>
          <w:p w:rsidR="00F549BD" w:rsidRDefault="00DC1E57">
            <w:pPr>
              <w:keepNext/>
              <w:keepLines/>
              <w:spacing w:after="0" w:line="240" w:lineRule="auto"/>
              <w:jc w:val="right"/>
            </w:pPr>
            <w:r>
              <w:rPr>
                <w:sz w:val="18"/>
              </w:rPr>
              <w:t>5.969,08</w:t>
            </w:r>
          </w:p>
        </w:tc>
        <w:tc>
          <w:tcPr>
            <w:tcW w:w="700" w:type="dxa"/>
            <w:tcMar>
              <w:top w:w="0" w:type="dxa"/>
              <w:bottom w:w="0" w:type="dxa"/>
            </w:tcMar>
            <w:vAlign w:val="center"/>
          </w:tcPr>
          <w:p w:rsidR="00F549BD" w:rsidRDefault="00DC1E57">
            <w:pPr>
              <w:keepNext/>
              <w:keepLines/>
              <w:spacing w:after="0" w:line="240" w:lineRule="auto"/>
              <w:jc w:val="right"/>
            </w:pPr>
            <w:r>
              <w:rPr>
                <w:sz w:val="18"/>
              </w:rPr>
              <w:t>116,0</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F549BD">
            <w:pPr>
              <w:keepNext/>
              <w:keepLines/>
              <w:spacing w:after="0" w:line="240" w:lineRule="auto"/>
            </w:pPr>
          </w:p>
        </w:tc>
        <w:tc>
          <w:tcPr>
            <w:tcW w:w="3180" w:type="dxa"/>
            <w:tcMar>
              <w:top w:w="0" w:type="dxa"/>
              <w:bottom w:w="0" w:type="dxa"/>
            </w:tcMar>
            <w:vAlign w:val="center"/>
          </w:tcPr>
          <w:p w:rsidR="00F549BD" w:rsidRDefault="00DC1E57">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F549BD" w:rsidRDefault="00DC1E57">
            <w:pPr>
              <w:keepNext/>
              <w:keepLines/>
              <w:spacing w:after="0" w:line="240" w:lineRule="auto"/>
            </w:pPr>
            <w:r>
              <w:rPr>
                <w:b/>
                <w:sz w:val="18"/>
              </w:rPr>
              <w:t>Y002</w:t>
            </w:r>
          </w:p>
        </w:tc>
        <w:tc>
          <w:tcPr>
            <w:tcW w:w="1860" w:type="dxa"/>
            <w:tcMar>
              <w:top w:w="0" w:type="dxa"/>
              <w:bottom w:w="0" w:type="dxa"/>
            </w:tcMar>
            <w:vAlign w:val="center"/>
          </w:tcPr>
          <w:p w:rsidR="00F549BD" w:rsidRDefault="00DC1E57">
            <w:pPr>
              <w:keepNext/>
              <w:keepLines/>
              <w:spacing w:after="0" w:line="240" w:lineRule="auto"/>
              <w:jc w:val="right"/>
            </w:pPr>
            <w:r>
              <w:rPr>
                <w:b/>
                <w:sz w:val="18"/>
              </w:rPr>
              <w:t>5.145,70</w:t>
            </w:r>
          </w:p>
        </w:tc>
        <w:tc>
          <w:tcPr>
            <w:tcW w:w="1860" w:type="dxa"/>
            <w:tcMar>
              <w:top w:w="0" w:type="dxa"/>
              <w:bottom w:w="0" w:type="dxa"/>
            </w:tcMar>
            <w:vAlign w:val="center"/>
          </w:tcPr>
          <w:p w:rsidR="00F549BD" w:rsidRDefault="00DC1E57">
            <w:pPr>
              <w:keepNext/>
              <w:keepLines/>
              <w:spacing w:after="0" w:line="240" w:lineRule="auto"/>
              <w:jc w:val="right"/>
            </w:pPr>
            <w:r>
              <w:rPr>
                <w:b/>
                <w:sz w:val="18"/>
              </w:rPr>
              <w:t>5.969,08</w:t>
            </w:r>
          </w:p>
        </w:tc>
        <w:tc>
          <w:tcPr>
            <w:tcW w:w="700" w:type="dxa"/>
            <w:tcMar>
              <w:top w:w="0" w:type="dxa"/>
              <w:bottom w:w="0" w:type="dxa"/>
            </w:tcMar>
            <w:vAlign w:val="center"/>
          </w:tcPr>
          <w:p w:rsidR="00F549BD" w:rsidRDefault="00DC1E57">
            <w:pPr>
              <w:keepNext/>
              <w:keepLines/>
              <w:spacing w:after="0" w:line="240" w:lineRule="auto"/>
              <w:jc w:val="right"/>
            </w:pPr>
            <w:r>
              <w:rPr>
                <w:b/>
                <w:sz w:val="18"/>
              </w:rPr>
              <w:t>116,0</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8</w:t>
            </w:r>
          </w:p>
        </w:tc>
        <w:tc>
          <w:tcPr>
            <w:tcW w:w="3180" w:type="dxa"/>
            <w:tcMar>
              <w:top w:w="0" w:type="dxa"/>
              <w:bottom w:w="0" w:type="dxa"/>
            </w:tcMar>
            <w:vAlign w:val="center"/>
          </w:tcPr>
          <w:p w:rsidR="00F549BD" w:rsidRDefault="00DC1E57">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F549BD" w:rsidRDefault="00DC1E57">
            <w:pPr>
              <w:keepNext/>
              <w:keepLines/>
              <w:spacing w:after="0" w:line="240" w:lineRule="auto"/>
            </w:pPr>
            <w:r>
              <w:rPr>
                <w:sz w:val="18"/>
              </w:rPr>
              <w:t>8</w:t>
            </w:r>
          </w:p>
        </w:tc>
        <w:tc>
          <w:tcPr>
            <w:tcW w:w="1860" w:type="dxa"/>
            <w:tcMar>
              <w:top w:w="0" w:type="dxa"/>
              <w:bottom w:w="0" w:type="dxa"/>
            </w:tcMar>
            <w:vAlign w:val="center"/>
          </w:tcPr>
          <w:p w:rsidR="00F549BD" w:rsidRDefault="00DC1E57">
            <w:pPr>
              <w:keepNext/>
              <w:keepLines/>
              <w:spacing w:after="0" w:line="240" w:lineRule="auto"/>
              <w:jc w:val="right"/>
            </w:pPr>
            <w:r>
              <w:rPr>
                <w:sz w:val="18"/>
              </w:rPr>
              <w:t>0,00</w:t>
            </w:r>
          </w:p>
        </w:tc>
        <w:tc>
          <w:tcPr>
            <w:tcW w:w="1860" w:type="dxa"/>
            <w:tcMar>
              <w:top w:w="0" w:type="dxa"/>
              <w:bottom w:w="0" w:type="dxa"/>
            </w:tcMar>
            <w:vAlign w:val="center"/>
          </w:tcPr>
          <w:p w:rsidR="00F549BD" w:rsidRDefault="00DC1E57">
            <w:pPr>
              <w:keepNext/>
              <w:keepLines/>
              <w:spacing w:after="0" w:line="240" w:lineRule="auto"/>
              <w:jc w:val="right"/>
            </w:pPr>
            <w:r>
              <w:rPr>
                <w:sz w:val="18"/>
              </w:rPr>
              <w:t>0,00</w:t>
            </w:r>
          </w:p>
        </w:tc>
        <w:tc>
          <w:tcPr>
            <w:tcW w:w="700" w:type="dxa"/>
            <w:tcMar>
              <w:top w:w="0" w:type="dxa"/>
              <w:bottom w:w="0" w:type="dxa"/>
            </w:tcMar>
            <w:vAlign w:val="center"/>
          </w:tcPr>
          <w:p w:rsidR="00F549BD" w:rsidRDefault="00DC1E57">
            <w:pPr>
              <w:keepNext/>
              <w:keepLines/>
              <w:spacing w:after="0" w:line="240" w:lineRule="auto"/>
              <w:jc w:val="right"/>
            </w:pPr>
            <w:r>
              <w:rPr>
                <w:sz w:val="18"/>
              </w:rPr>
              <w:t>-</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5</w:t>
            </w:r>
          </w:p>
        </w:tc>
        <w:tc>
          <w:tcPr>
            <w:tcW w:w="3180" w:type="dxa"/>
            <w:tcMar>
              <w:top w:w="0" w:type="dxa"/>
              <w:bottom w:w="0" w:type="dxa"/>
            </w:tcMar>
            <w:vAlign w:val="center"/>
          </w:tcPr>
          <w:p w:rsidR="00F549BD" w:rsidRDefault="00DC1E57">
            <w:pPr>
              <w:keepNext/>
              <w:keepLines/>
              <w:spacing w:after="0" w:line="240" w:lineRule="auto"/>
            </w:pPr>
            <w:r>
              <w:rPr>
                <w:sz w:val="18"/>
              </w:rPr>
              <w:t xml:space="preserve">Izdaci za financijsku imovinu i </w:t>
            </w:r>
            <w:r>
              <w:rPr>
                <w:sz w:val="18"/>
              </w:rPr>
              <w:t>otplate zajmova (šifre 51+52+53+54+55)</w:t>
            </w:r>
          </w:p>
        </w:tc>
        <w:tc>
          <w:tcPr>
            <w:tcW w:w="700" w:type="dxa"/>
            <w:tcMar>
              <w:top w:w="0" w:type="dxa"/>
              <w:bottom w:w="0" w:type="dxa"/>
            </w:tcMar>
            <w:vAlign w:val="center"/>
          </w:tcPr>
          <w:p w:rsidR="00F549BD" w:rsidRDefault="00DC1E57">
            <w:pPr>
              <w:keepNext/>
              <w:keepLines/>
              <w:spacing w:after="0" w:line="240" w:lineRule="auto"/>
            </w:pPr>
            <w:r>
              <w:rPr>
                <w:sz w:val="18"/>
              </w:rPr>
              <w:t>5</w:t>
            </w:r>
          </w:p>
        </w:tc>
        <w:tc>
          <w:tcPr>
            <w:tcW w:w="1860" w:type="dxa"/>
            <w:tcMar>
              <w:top w:w="0" w:type="dxa"/>
              <w:bottom w:w="0" w:type="dxa"/>
            </w:tcMar>
            <w:vAlign w:val="center"/>
          </w:tcPr>
          <w:p w:rsidR="00F549BD" w:rsidRDefault="00DC1E57">
            <w:pPr>
              <w:keepNext/>
              <w:keepLines/>
              <w:spacing w:after="0" w:line="240" w:lineRule="auto"/>
              <w:jc w:val="right"/>
            </w:pPr>
            <w:r>
              <w:rPr>
                <w:sz w:val="18"/>
              </w:rPr>
              <w:t>0,00</w:t>
            </w:r>
          </w:p>
        </w:tc>
        <w:tc>
          <w:tcPr>
            <w:tcW w:w="1860" w:type="dxa"/>
            <w:tcMar>
              <w:top w:w="0" w:type="dxa"/>
              <w:bottom w:w="0" w:type="dxa"/>
            </w:tcMar>
            <w:vAlign w:val="center"/>
          </w:tcPr>
          <w:p w:rsidR="00F549BD" w:rsidRDefault="00DC1E57">
            <w:pPr>
              <w:keepNext/>
              <w:keepLines/>
              <w:spacing w:after="0" w:line="240" w:lineRule="auto"/>
              <w:jc w:val="right"/>
            </w:pPr>
            <w:r>
              <w:rPr>
                <w:sz w:val="18"/>
              </w:rPr>
              <w:t>0,00</w:t>
            </w:r>
          </w:p>
        </w:tc>
        <w:tc>
          <w:tcPr>
            <w:tcW w:w="700" w:type="dxa"/>
            <w:tcMar>
              <w:top w:w="0" w:type="dxa"/>
              <w:bottom w:w="0" w:type="dxa"/>
            </w:tcMar>
            <w:vAlign w:val="center"/>
          </w:tcPr>
          <w:p w:rsidR="00F549BD" w:rsidRDefault="00DC1E57">
            <w:pPr>
              <w:keepNext/>
              <w:keepLines/>
              <w:spacing w:after="0" w:line="240" w:lineRule="auto"/>
              <w:jc w:val="right"/>
            </w:pPr>
            <w:r>
              <w:rPr>
                <w:sz w:val="18"/>
              </w:rPr>
              <w:t>-</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F549BD">
            <w:pPr>
              <w:keepNext/>
              <w:keepLines/>
              <w:spacing w:after="0" w:line="240" w:lineRule="auto"/>
            </w:pPr>
          </w:p>
        </w:tc>
        <w:tc>
          <w:tcPr>
            <w:tcW w:w="3180" w:type="dxa"/>
            <w:tcMar>
              <w:top w:w="0" w:type="dxa"/>
              <w:bottom w:w="0" w:type="dxa"/>
            </w:tcMar>
            <w:vAlign w:val="center"/>
          </w:tcPr>
          <w:p w:rsidR="00F549BD" w:rsidRDefault="00DC1E57">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F549BD" w:rsidRDefault="00DC1E57">
            <w:pPr>
              <w:keepNext/>
              <w:keepLines/>
              <w:spacing w:after="0" w:line="240" w:lineRule="auto"/>
            </w:pPr>
            <w:r>
              <w:rPr>
                <w:b/>
                <w:sz w:val="18"/>
              </w:rPr>
              <w:t>X003, Y003</w:t>
            </w:r>
          </w:p>
        </w:tc>
        <w:tc>
          <w:tcPr>
            <w:tcW w:w="1860" w:type="dxa"/>
            <w:tcMar>
              <w:top w:w="0" w:type="dxa"/>
              <w:bottom w:w="0" w:type="dxa"/>
            </w:tcMar>
            <w:vAlign w:val="center"/>
          </w:tcPr>
          <w:p w:rsidR="00F549BD" w:rsidRDefault="00DC1E57">
            <w:pPr>
              <w:keepNext/>
              <w:keepLines/>
              <w:spacing w:after="0" w:line="240" w:lineRule="auto"/>
              <w:jc w:val="right"/>
            </w:pPr>
            <w:r>
              <w:rPr>
                <w:b/>
                <w:sz w:val="18"/>
              </w:rPr>
              <w:t>0,00</w:t>
            </w:r>
          </w:p>
        </w:tc>
        <w:tc>
          <w:tcPr>
            <w:tcW w:w="1860" w:type="dxa"/>
            <w:tcMar>
              <w:top w:w="0" w:type="dxa"/>
              <w:bottom w:w="0" w:type="dxa"/>
            </w:tcMar>
            <w:vAlign w:val="center"/>
          </w:tcPr>
          <w:p w:rsidR="00F549BD" w:rsidRDefault="00DC1E57">
            <w:pPr>
              <w:keepNext/>
              <w:keepLines/>
              <w:spacing w:after="0" w:line="240" w:lineRule="auto"/>
              <w:jc w:val="right"/>
            </w:pPr>
            <w:r>
              <w:rPr>
                <w:b/>
                <w:sz w:val="18"/>
              </w:rPr>
              <w:t>0,00</w:t>
            </w:r>
          </w:p>
        </w:tc>
        <w:tc>
          <w:tcPr>
            <w:tcW w:w="700" w:type="dxa"/>
            <w:tcMar>
              <w:top w:w="0" w:type="dxa"/>
              <w:bottom w:w="0" w:type="dxa"/>
            </w:tcMar>
            <w:vAlign w:val="center"/>
          </w:tcPr>
          <w:p w:rsidR="00F549BD" w:rsidRDefault="00DC1E57">
            <w:pPr>
              <w:keepNext/>
              <w:keepLines/>
              <w:spacing w:after="0" w:line="240" w:lineRule="auto"/>
              <w:jc w:val="right"/>
            </w:pPr>
            <w:r>
              <w:rPr>
                <w:b/>
                <w:sz w:val="18"/>
              </w:rPr>
              <w:t>-</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F549BD">
            <w:pPr>
              <w:keepNext/>
              <w:keepLines/>
              <w:spacing w:after="0" w:line="240" w:lineRule="auto"/>
            </w:pPr>
          </w:p>
        </w:tc>
        <w:tc>
          <w:tcPr>
            <w:tcW w:w="3180" w:type="dxa"/>
            <w:tcMar>
              <w:top w:w="0" w:type="dxa"/>
              <w:bottom w:w="0" w:type="dxa"/>
            </w:tcMar>
            <w:vAlign w:val="center"/>
          </w:tcPr>
          <w:p w:rsidR="00F549BD" w:rsidRDefault="00DC1E57">
            <w:pPr>
              <w:keepNext/>
              <w:keepLines/>
              <w:spacing w:after="0" w:line="240" w:lineRule="auto"/>
            </w:pPr>
            <w:r>
              <w:rPr>
                <w:b/>
                <w:sz w:val="18"/>
              </w:rPr>
              <w:t>VIŠAK PRIHODA I PRIMITAKA (šifre X678-Y345)</w:t>
            </w:r>
          </w:p>
        </w:tc>
        <w:tc>
          <w:tcPr>
            <w:tcW w:w="700" w:type="dxa"/>
            <w:tcMar>
              <w:top w:w="0" w:type="dxa"/>
              <w:bottom w:w="0" w:type="dxa"/>
            </w:tcMar>
            <w:vAlign w:val="center"/>
          </w:tcPr>
          <w:p w:rsidR="00F549BD" w:rsidRDefault="00DC1E57">
            <w:pPr>
              <w:keepNext/>
              <w:keepLines/>
              <w:spacing w:after="0" w:line="240" w:lineRule="auto"/>
            </w:pPr>
            <w:r>
              <w:rPr>
                <w:b/>
                <w:sz w:val="18"/>
              </w:rPr>
              <w:t>X005</w:t>
            </w:r>
          </w:p>
        </w:tc>
        <w:tc>
          <w:tcPr>
            <w:tcW w:w="1860" w:type="dxa"/>
            <w:tcMar>
              <w:top w:w="0" w:type="dxa"/>
              <w:bottom w:w="0" w:type="dxa"/>
            </w:tcMar>
            <w:vAlign w:val="center"/>
          </w:tcPr>
          <w:p w:rsidR="00F549BD" w:rsidRDefault="00DC1E57">
            <w:pPr>
              <w:keepNext/>
              <w:keepLines/>
              <w:spacing w:after="0" w:line="240" w:lineRule="auto"/>
              <w:jc w:val="right"/>
            </w:pPr>
            <w:r>
              <w:rPr>
                <w:b/>
                <w:sz w:val="18"/>
              </w:rPr>
              <w:t>0,00</w:t>
            </w:r>
          </w:p>
        </w:tc>
        <w:tc>
          <w:tcPr>
            <w:tcW w:w="1860" w:type="dxa"/>
            <w:tcMar>
              <w:top w:w="0" w:type="dxa"/>
              <w:bottom w:w="0" w:type="dxa"/>
            </w:tcMar>
            <w:vAlign w:val="center"/>
          </w:tcPr>
          <w:p w:rsidR="00F549BD" w:rsidRDefault="00DC1E57">
            <w:pPr>
              <w:keepNext/>
              <w:keepLines/>
              <w:spacing w:after="0" w:line="240" w:lineRule="auto"/>
              <w:jc w:val="right"/>
            </w:pPr>
            <w:r>
              <w:rPr>
                <w:b/>
                <w:sz w:val="18"/>
              </w:rPr>
              <w:t>24.100,56</w:t>
            </w:r>
          </w:p>
        </w:tc>
        <w:tc>
          <w:tcPr>
            <w:tcW w:w="700" w:type="dxa"/>
            <w:tcMar>
              <w:top w:w="0" w:type="dxa"/>
              <w:bottom w:w="0" w:type="dxa"/>
            </w:tcMar>
            <w:vAlign w:val="center"/>
          </w:tcPr>
          <w:p w:rsidR="00F549BD" w:rsidRDefault="00DC1E57">
            <w:pPr>
              <w:keepNext/>
              <w:keepLines/>
              <w:spacing w:after="0" w:line="240" w:lineRule="auto"/>
              <w:jc w:val="right"/>
            </w:pPr>
            <w:r>
              <w:rPr>
                <w:b/>
                <w:sz w:val="18"/>
              </w:rPr>
              <w:t>-</w:t>
            </w:r>
          </w:p>
        </w:tc>
      </w:tr>
    </w:tbl>
    <w:p w:rsidR="00F549BD" w:rsidRDefault="00F549BD">
      <w:pPr>
        <w:spacing w:after="0"/>
      </w:pPr>
    </w:p>
    <w:p w:rsidR="00F549BD" w:rsidRDefault="00DC1E57">
      <w:r>
        <w:t>Osnovna škola Luka paljetka posluje u skladu sa Zakonom o odgoju i obrazovanju u osnovnoj i srednjoj školi te Statutom škole. Škola vodi proračunsko računovodstvo prema Zakonu o proračunu i Pravilniku o proračunskom računovodstvu i Računskom planu te finan</w:t>
      </w:r>
      <w:r>
        <w:t xml:space="preserve">cijska izvješća </w:t>
      </w:r>
      <w:r>
        <w:lastRenderedPageBreak/>
        <w:t>sastavlja sukladno Pravilniku o financijskom izvještavanju u proračunskom računovodstvu  te nije u sustavu poreza na dobit ni u sustavu poreza na dodanu vrijednost</w:t>
      </w:r>
      <w:r>
        <w:br/>
        <w:t>U Bilješkama uz „Izvještaj o prihodima i rashodima, primitcima i izdacima“ n</w:t>
      </w:r>
      <w:r>
        <w:t>avode se razlozi zbog kojih je došlo do većih odstupanja od ostvarenja u izvještajnom razdoblju prethodne godine. Kao veće odstupanje podrazumijeva se odstupanje od 10% u odnosu na prethodnu godinu na trećoj razini računskog plana.</w:t>
      </w:r>
      <w:r>
        <w:br/>
        <w:t>U ovom izvještajnom razd</w:t>
      </w:r>
      <w:r>
        <w:t>oblju ostvareno je 1.137.175,14 € prihoda poslovanja, 1.107.105,50 € rashoda poslovanja i 5.969,08 € rashoda za nabavu nefinancijske imovine. Višak prihoda i primitaka u ovom razdoblju iznosi 24.100,56 €. S obzirom da je iz 2025. godine preneseno 92.344,57</w:t>
      </w:r>
      <w:r>
        <w:t xml:space="preserve"> € manjka prihoda i primitaka, ukupni manjak koji se prenosi u sljedeće izvještajno razdoblje je 68.244,01 €.</w:t>
      </w:r>
    </w:p>
    <w:p w:rsidR="00F549BD" w:rsidRDefault="00DC1E57">
      <w:r>
        <w:t> </w:t>
      </w:r>
    </w:p>
    <w:p w:rsidR="00F549BD" w:rsidRDefault="00DC1E57">
      <w:r>
        <w:br/>
      </w:r>
    </w:p>
    <w:p w:rsidR="00F549BD" w:rsidRDefault="00DC1E57">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tekuć</w:t>
            </w:r>
            <w:r>
              <w:rPr>
                <w:b/>
                <w:sz w:val="18"/>
              </w:rPr>
              <w:t>e godine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633</w:t>
            </w:r>
          </w:p>
        </w:tc>
        <w:tc>
          <w:tcPr>
            <w:tcW w:w="3180" w:type="dxa"/>
            <w:tcMar>
              <w:top w:w="0" w:type="dxa"/>
              <w:bottom w:w="0" w:type="dxa"/>
            </w:tcMar>
            <w:vAlign w:val="center"/>
          </w:tcPr>
          <w:p w:rsidR="00F549BD" w:rsidRDefault="00DC1E57">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rsidR="00F549BD" w:rsidRDefault="00DC1E57">
            <w:pPr>
              <w:keepNext/>
              <w:keepLines/>
              <w:spacing w:after="0" w:line="240" w:lineRule="auto"/>
            </w:pPr>
            <w:r>
              <w:rPr>
                <w:sz w:val="18"/>
              </w:rPr>
              <w:t>633</w:t>
            </w:r>
          </w:p>
        </w:tc>
        <w:tc>
          <w:tcPr>
            <w:tcW w:w="1860" w:type="dxa"/>
            <w:tcMar>
              <w:top w:w="0" w:type="dxa"/>
              <w:bottom w:w="0" w:type="dxa"/>
            </w:tcMar>
            <w:vAlign w:val="center"/>
          </w:tcPr>
          <w:p w:rsidR="00F549BD" w:rsidRDefault="00DC1E57">
            <w:pPr>
              <w:keepNext/>
              <w:keepLines/>
              <w:spacing w:after="0" w:line="240" w:lineRule="auto"/>
              <w:jc w:val="right"/>
            </w:pPr>
            <w:r>
              <w:rPr>
                <w:sz w:val="18"/>
              </w:rPr>
              <w:t>2.677,38</w:t>
            </w:r>
          </w:p>
        </w:tc>
        <w:tc>
          <w:tcPr>
            <w:tcW w:w="1860" w:type="dxa"/>
            <w:tcMar>
              <w:top w:w="0" w:type="dxa"/>
              <w:bottom w:w="0" w:type="dxa"/>
            </w:tcMar>
            <w:vAlign w:val="center"/>
          </w:tcPr>
          <w:p w:rsidR="00F549BD" w:rsidRDefault="00DC1E57">
            <w:pPr>
              <w:keepNext/>
              <w:keepLines/>
              <w:spacing w:after="0" w:line="240" w:lineRule="auto"/>
              <w:jc w:val="right"/>
            </w:pPr>
            <w:r>
              <w:rPr>
                <w:sz w:val="18"/>
              </w:rPr>
              <w:t>3.254,63</w:t>
            </w:r>
          </w:p>
        </w:tc>
        <w:tc>
          <w:tcPr>
            <w:tcW w:w="700" w:type="dxa"/>
            <w:tcMar>
              <w:top w:w="0" w:type="dxa"/>
              <w:bottom w:w="0" w:type="dxa"/>
            </w:tcMar>
            <w:vAlign w:val="center"/>
          </w:tcPr>
          <w:p w:rsidR="00F549BD" w:rsidRDefault="00DC1E57">
            <w:pPr>
              <w:keepNext/>
              <w:keepLines/>
              <w:spacing w:after="0" w:line="240" w:lineRule="auto"/>
              <w:jc w:val="right"/>
            </w:pPr>
            <w:r>
              <w:rPr>
                <w:sz w:val="18"/>
              </w:rPr>
              <w:t>121,6</w:t>
            </w:r>
          </w:p>
        </w:tc>
      </w:tr>
    </w:tbl>
    <w:p w:rsidR="00F549BD" w:rsidRDefault="00F549BD">
      <w:pPr>
        <w:spacing w:after="0"/>
      </w:pPr>
    </w:p>
    <w:p w:rsidR="00F549BD" w:rsidRDefault="00DC1E57">
      <w:r>
        <w:t>Veći prihodi od Županije za organizaciju županijskog natjecanja iz geografije.</w:t>
      </w:r>
    </w:p>
    <w:p w:rsidR="00F549BD" w:rsidRDefault="00F549BD"/>
    <w:p w:rsidR="00F549BD" w:rsidRDefault="00DC1E57">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641</w:t>
            </w:r>
          </w:p>
        </w:tc>
        <w:tc>
          <w:tcPr>
            <w:tcW w:w="3180" w:type="dxa"/>
            <w:tcMar>
              <w:top w:w="0" w:type="dxa"/>
              <w:bottom w:w="0" w:type="dxa"/>
            </w:tcMar>
            <w:vAlign w:val="center"/>
          </w:tcPr>
          <w:p w:rsidR="00F549BD" w:rsidRDefault="00DC1E57">
            <w:pPr>
              <w:keepNext/>
              <w:keepLines/>
              <w:spacing w:after="0" w:line="240" w:lineRule="auto"/>
            </w:pPr>
            <w:r>
              <w:rPr>
                <w:sz w:val="18"/>
              </w:rPr>
              <w:t>Prihodi od financijske imovine (šifre 6412 do 6419)</w:t>
            </w:r>
          </w:p>
        </w:tc>
        <w:tc>
          <w:tcPr>
            <w:tcW w:w="700" w:type="dxa"/>
            <w:tcMar>
              <w:top w:w="0" w:type="dxa"/>
              <w:bottom w:w="0" w:type="dxa"/>
            </w:tcMar>
            <w:vAlign w:val="center"/>
          </w:tcPr>
          <w:p w:rsidR="00F549BD" w:rsidRDefault="00DC1E57">
            <w:pPr>
              <w:keepNext/>
              <w:keepLines/>
              <w:spacing w:after="0" w:line="240" w:lineRule="auto"/>
            </w:pPr>
            <w:r>
              <w:rPr>
                <w:sz w:val="18"/>
              </w:rPr>
              <w:t>641</w:t>
            </w:r>
          </w:p>
        </w:tc>
        <w:tc>
          <w:tcPr>
            <w:tcW w:w="1860" w:type="dxa"/>
            <w:tcMar>
              <w:top w:w="0" w:type="dxa"/>
              <w:bottom w:w="0" w:type="dxa"/>
            </w:tcMar>
            <w:vAlign w:val="center"/>
          </w:tcPr>
          <w:p w:rsidR="00F549BD" w:rsidRDefault="00DC1E57">
            <w:pPr>
              <w:keepNext/>
              <w:keepLines/>
              <w:spacing w:after="0" w:line="240" w:lineRule="auto"/>
              <w:jc w:val="right"/>
            </w:pPr>
            <w:r>
              <w:rPr>
                <w:sz w:val="18"/>
              </w:rPr>
              <w:t>0,12</w:t>
            </w:r>
          </w:p>
        </w:tc>
        <w:tc>
          <w:tcPr>
            <w:tcW w:w="1860" w:type="dxa"/>
            <w:tcMar>
              <w:top w:w="0" w:type="dxa"/>
              <w:bottom w:w="0" w:type="dxa"/>
            </w:tcMar>
            <w:vAlign w:val="center"/>
          </w:tcPr>
          <w:p w:rsidR="00F549BD" w:rsidRDefault="00DC1E57">
            <w:pPr>
              <w:keepNext/>
              <w:keepLines/>
              <w:spacing w:after="0" w:line="240" w:lineRule="auto"/>
              <w:jc w:val="right"/>
            </w:pPr>
            <w:r>
              <w:rPr>
                <w:sz w:val="18"/>
              </w:rPr>
              <w:t>0,23</w:t>
            </w:r>
          </w:p>
        </w:tc>
        <w:tc>
          <w:tcPr>
            <w:tcW w:w="700" w:type="dxa"/>
            <w:tcMar>
              <w:top w:w="0" w:type="dxa"/>
              <w:bottom w:w="0" w:type="dxa"/>
            </w:tcMar>
            <w:vAlign w:val="center"/>
          </w:tcPr>
          <w:p w:rsidR="00F549BD" w:rsidRDefault="00DC1E57">
            <w:pPr>
              <w:keepNext/>
              <w:keepLines/>
              <w:spacing w:after="0" w:line="240" w:lineRule="auto"/>
              <w:jc w:val="right"/>
            </w:pPr>
            <w:r>
              <w:rPr>
                <w:sz w:val="18"/>
              </w:rPr>
              <w:t>191,7</w:t>
            </w:r>
          </w:p>
        </w:tc>
      </w:tr>
    </w:tbl>
    <w:p w:rsidR="00F549BD" w:rsidRDefault="00F549BD">
      <w:pPr>
        <w:spacing w:after="0"/>
      </w:pPr>
    </w:p>
    <w:p w:rsidR="00F549BD" w:rsidRDefault="00DC1E57">
      <w:r>
        <w:t>Prihodi od financijske imovine u izvještajnom razdoblju bilježe indeks rasta od 191,7%, odnosno povećanje od 91,7% u odnosu na prethodno razdoblje. Navedeni relativni porast financijski je potpuno zanemariv (nematerijalan) s obzirom na to da su prihodi u p</w:t>
      </w:r>
      <w:r>
        <w:t>rethodnom razdoblju iznosili 0,12 €, dok u tekućem razdoblju iznose 0,23 €.</w:t>
      </w:r>
    </w:p>
    <w:p w:rsidR="00F549BD" w:rsidRDefault="00F549BD"/>
    <w:p w:rsidR="00F549BD" w:rsidRDefault="00DC1E57">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652</w:t>
            </w:r>
          </w:p>
        </w:tc>
        <w:tc>
          <w:tcPr>
            <w:tcW w:w="3180" w:type="dxa"/>
            <w:tcMar>
              <w:top w:w="0" w:type="dxa"/>
              <w:bottom w:w="0" w:type="dxa"/>
            </w:tcMar>
            <w:vAlign w:val="center"/>
          </w:tcPr>
          <w:p w:rsidR="00F549BD" w:rsidRDefault="00DC1E57">
            <w:pPr>
              <w:keepNext/>
              <w:keepLines/>
              <w:spacing w:after="0" w:line="240" w:lineRule="auto"/>
            </w:pPr>
            <w:r>
              <w:rPr>
                <w:sz w:val="18"/>
              </w:rPr>
              <w:t>Prihodi po posebnim propisima (šifre 6521 do 6528)</w:t>
            </w:r>
          </w:p>
        </w:tc>
        <w:tc>
          <w:tcPr>
            <w:tcW w:w="700" w:type="dxa"/>
            <w:tcMar>
              <w:top w:w="0" w:type="dxa"/>
              <w:bottom w:w="0" w:type="dxa"/>
            </w:tcMar>
            <w:vAlign w:val="center"/>
          </w:tcPr>
          <w:p w:rsidR="00F549BD" w:rsidRDefault="00DC1E57">
            <w:pPr>
              <w:keepNext/>
              <w:keepLines/>
              <w:spacing w:after="0" w:line="240" w:lineRule="auto"/>
            </w:pPr>
            <w:r>
              <w:rPr>
                <w:sz w:val="18"/>
              </w:rPr>
              <w:t>652</w:t>
            </w:r>
          </w:p>
        </w:tc>
        <w:tc>
          <w:tcPr>
            <w:tcW w:w="1860" w:type="dxa"/>
            <w:tcMar>
              <w:top w:w="0" w:type="dxa"/>
              <w:bottom w:w="0" w:type="dxa"/>
            </w:tcMar>
            <w:vAlign w:val="center"/>
          </w:tcPr>
          <w:p w:rsidR="00F549BD" w:rsidRDefault="00DC1E57">
            <w:pPr>
              <w:keepNext/>
              <w:keepLines/>
              <w:spacing w:after="0" w:line="240" w:lineRule="auto"/>
              <w:jc w:val="right"/>
            </w:pPr>
            <w:r>
              <w:rPr>
                <w:sz w:val="18"/>
              </w:rPr>
              <w:t>78.837,46</w:t>
            </w:r>
          </w:p>
        </w:tc>
        <w:tc>
          <w:tcPr>
            <w:tcW w:w="1860" w:type="dxa"/>
            <w:tcMar>
              <w:top w:w="0" w:type="dxa"/>
              <w:bottom w:w="0" w:type="dxa"/>
            </w:tcMar>
            <w:vAlign w:val="center"/>
          </w:tcPr>
          <w:p w:rsidR="00F549BD" w:rsidRDefault="00DC1E57">
            <w:pPr>
              <w:keepNext/>
              <w:keepLines/>
              <w:spacing w:after="0" w:line="240" w:lineRule="auto"/>
              <w:jc w:val="right"/>
            </w:pPr>
            <w:r>
              <w:rPr>
                <w:sz w:val="18"/>
              </w:rPr>
              <w:t>96.917,34</w:t>
            </w:r>
          </w:p>
        </w:tc>
        <w:tc>
          <w:tcPr>
            <w:tcW w:w="700" w:type="dxa"/>
            <w:tcMar>
              <w:top w:w="0" w:type="dxa"/>
              <w:bottom w:w="0" w:type="dxa"/>
            </w:tcMar>
            <w:vAlign w:val="center"/>
          </w:tcPr>
          <w:p w:rsidR="00F549BD" w:rsidRDefault="00DC1E57">
            <w:pPr>
              <w:keepNext/>
              <w:keepLines/>
              <w:spacing w:after="0" w:line="240" w:lineRule="auto"/>
              <w:jc w:val="right"/>
            </w:pPr>
            <w:r>
              <w:rPr>
                <w:sz w:val="18"/>
              </w:rPr>
              <w:t>122,9</w:t>
            </w:r>
          </w:p>
        </w:tc>
      </w:tr>
    </w:tbl>
    <w:p w:rsidR="00F549BD" w:rsidRDefault="00F549BD">
      <w:pPr>
        <w:spacing w:after="0"/>
      </w:pPr>
    </w:p>
    <w:p w:rsidR="00F549BD" w:rsidRDefault="00DC1E57">
      <w:r>
        <w:t xml:space="preserve">Osnovna škola Luka Paljetak, Dubrovnik provodi projekt produženog boravka koji je većinski financiran iz proračuna Grada Dubrovnika, čime se omogućava kvalitetna organizacija slobodnog vremena učenika nakon završetka redovne nastave. Roditelji sudjeluju u </w:t>
      </w:r>
      <w:r>
        <w:t xml:space="preserve">sufinanciranju troška toplog obroka za učenike koji pohađaju program produženi boravak, u iznosu od 4,50 eura po učeniku dnevno, cijena produženog boravka je porasla od početka ove školske godine, što je dovelo do povećanja prihoda. Rezultiralo povećanjem </w:t>
      </w:r>
      <w:r>
        <w:t xml:space="preserve">prihoda po toj osnovi za 22,9 % u odnosu na prethodnu godinu. Provodi se također projekt topli obrok za sve učenike od 1-8 razreda cijena obroka je 4,50 eura dnevno. broj učenika je veći nego prethodne godine i cijena je veća, što je rezultiralo povećanom </w:t>
      </w:r>
      <w:r>
        <w:t>prihodu.</w:t>
      </w:r>
    </w:p>
    <w:p w:rsidR="00F549BD" w:rsidRDefault="00DC1E57">
      <w:r>
        <w:t> </w:t>
      </w:r>
    </w:p>
    <w:p w:rsidR="00F549BD" w:rsidRDefault="00DC1E57">
      <w:r>
        <w:t> </w:t>
      </w:r>
    </w:p>
    <w:p w:rsidR="00F549BD" w:rsidRDefault="00F549BD"/>
    <w:p w:rsidR="00F549BD" w:rsidRDefault="00DC1E57">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671</w:t>
            </w:r>
          </w:p>
        </w:tc>
        <w:tc>
          <w:tcPr>
            <w:tcW w:w="3180" w:type="dxa"/>
            <w:tcMar>
              <w:top w:w="0" w:type="dxa"/>
              <w:bottom w:w="0" w:type="dxa"/>
            </w:tcMar>
            <w:vAlign w:val="center"/>
          </w:tcPr>
          <w:p w:rsidR="00F549BD" w:rsidRDefault="00DC1E57">
            <w:pPr>
              <w:keepNext/>
              <w:keepLines/>
              <w:spacing w:after="0" w:line="240" w:lineRule="auto"/>
            </w:pPr>
            <w:r>
              <w:rPr>
                <w:sz w:val="18"/>
              </w:rPr>
              <w:t xml:space="preserve">Prihodi iz nadležnog proračuna za financiranje redovne </w:t>
            </w:r>
            <w:r>
              <w:rPr>
                <w:sz w:val="18"/>
              </w:rPr>
              <w:t>djelatnosti proračunskih korisnika (šifre 6711 do 6714)</w:t>
            </w:r>
          </w:p>
        </w:tc>
        <w:tc>
          <w:tcPr>
            <w:tcW w:w="700" w:type="dxa"/>
            <w:tcMar>
              <w:top w:w="0" w:type="dxa"/>
              <w:bottom w:w="0" w:type="dxa"/>
            </w:tcMar>
            <w:vAlign w:val="center"/>
          </w:tcPr>
          <w:p w:rsidR="00F549BD" w:rsidRDefault="00DC1E57">
            <w:pPr>
              <w:keepNext/>
              <w:keepLines/>
              <w:spacing w:after="0" w:line="240" w:lineRule="auto"/>
            </w:pPr>
            <w:r>
              <w:rPr>
                <w:sz w:val="18"/>
              </w:rPr>
              <w:t>671</w:t>
            </w:r>
          </w:p>
        </w:tc>
        <w:tc>
          <w:tcPr>
            <w:tcW w:w="1860" w:type="dxa"/>
            <w:tcMar>
              <w:top w:w="0" w:type="dxa"/>
              <w:bottom w:w="0" w:type="dxa"/>
            </w:tcMar>
            <w:vAlign w:val="center"/>
          </w:tcPr>
          <w:p w:rsidR="00F549BD" w:rsidRDefault="00DC1E57">
            <w:pPr>
              <w:keepNext/>
              <w:keepLines/>
              <w:spacing w:after="0" w:line="240" w:lineRule="auto"/>
              <w:jc w:val="right"/>
            </w:pPr>
            <w:r>
              <w:rPr>
                <w:sz w:val="18"/>
              </w:rPr>
              <w:t>207.459,81</w:t>
            </w:r>
          </w:p>
        </w:tc>
        <w:tc>
          <w:tcPr>
            <w:tcW w:w="1860" w:type="dxa"/>
            <w:tcMar>
              <w:top w:w="0" w:type="dxa"/>
              <w:bottom w:w="0" w:type="dxa"/>
            </w:tcMar>
            <w:vAlign w:val="center"/>
          </w:tcPr>
          <w:p w:rsidR="00F549BD" w:rsidRDefault="00DC1E57">
            <w:pPr>
              <w:keepNext/>
              <w:keepLines/>
              <w:spacing w:after="0" w:line="240" w:lineRule="auto"/>
              <w:jc w:val="right"/>
            </w:pPr>
            <w:r>
              <w:rPr>
                <w:sz w:val="18"/>
              </w:rPr>
              <w:t>308.530,34</w:t>
            </w:r>
          </w:p>
        </w:tc>
        <w:tc>
          <w:tcPr>
            <w:tcW w:w="700" w:type="dxa"/>
            <w:tcMar>
              <w:top w:w="0" w:type="dxa"/>
              <w:bottom w:w="0" w:type="dxa"/>
            </w:tcMar>
            <w:vAlign w:val="center"/>
          </w:tcPr>
          <w:p w:rsidR="00F549BD" w:rsidRDefault="00DC1E57">
            <w:pPr>
              <w:keepNext/>
              <w:keepLines/>
              <w:spacing w:after="0" w:line="240" w:lineRule="auto"/>
              <w:jc w:val="right"/>
            </w:pPr>
            <w:r>
              <w:rPr>
                <w:sz w:val="18"/>
              </w:rPr>
              <w:t>148,7</w:t>
            </w:r>
          </w:p>
        </w:tc>
      </w:tr>
    </w:tbl>
    <w:p w:rsidR="00F549BD" w:rsidRDefault="00F549BD">
      <w:pPr>
        <w:spacing w:after="0"/>
      </w:pPr>
    </w:p>
    <w:p w:rsidR="00F549BD" w:rsidRDefault="00DC1E57">
      <w:r>
        <w:t>Prihodi iz nadležnog proračuna za financiranje redovne djelatnosti proračunskog korisnika u izvještajnom razdoblju značajno su povećani uslijed promjene koncepta poslovanja i načina evidentiranja prihoda. Navedeni prihodi odnose se na sredstva koja Osnivač</w:t>
      </w:r>
      <w:r>
        <w:t xml:space="preserve"> doznačuje za financiranje različitih projekata i redovne djelatnosti.</w:t>
      </w:r>
    </w:p>
    <w:p w:rsidR="00F549BD" w:rsidRDefault="00DC1E57">
      <w:r>
        <w:t>U 2024. godini prihodi su se uplaćivali akontacijski, pri čemu je prihod za pokriće rashoda za mjesec prosinac 2024. godine evidentiran unutar iste godine. Suprotno tome, u 2025. godini prihod za pokriće rashoda za mjesec prosinac 2025. godine uplaćen je u</w:t>
      </w:r>
      <w:r>
        <w:t xml:space="preserve"> siječnju 2026. godine.</w:t>
      </w:r>
    </w:p>
    <w:p w:rsidR="00F549BD" w:rsidRDefault="00DC1E57">
      <w:r>
        <w:t>Zbog navedenog vremenskog pomaka u uplati i evidentiranju sredstava, došlo je do značajnog povećanja iskazanih prihoda u izvještajnom razdoblju.</w:t>
      </w:r>
    </w:p>
    <w:p w:rsidR="00F549BD" w:rsidRDefault="00F549BD"/>
    <w:p w:rsidR="00F549BD" w:rsidRDefault="00DC1E57">
      <w:pPr>
        <w:keepNext/>
        <w:spacing w:line="240" w:lineRule="auto"/>
        <w:jc w:val="center"/>
      </w:pPr>
      <w:r>
        <w:rPr>
          <w:sz w:val="28"/>
        </w:rPr>
        <w:lastRenderedPageBreak/>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p</w:t>
            </w:r>
            <w:r>
              <w:rPr>
                <w:b/>
                <w:sz w:val="18"/>
              </w:rPr>
              <w:t>rethodne godine</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321</w:t>
            </w:r>
          </w:p>
        </w:tc>
        <w:tc>
          <w:tcPr>
            <w:tcW w:w="3180" w:type="dxa"/>
            <w:tcMar>
              <w:top w:w="0" w:type="dxa"/>
              <w:bottom w:w="0" w:type="dxa"/>
            </w:tcMar>
            <w:vAlign w:val="center"/>
          </w:tcPr>
          <w:p w:rsidR="00F549BD" w:rsidRDefault="00DC1E57">
            <w:pPr>
              <w:keepNext/>
              <w:keepLines/>
              <w:spacing w:after="0" w:line="240" w:lineRule="auto"/>
            </w:pPr>
            <w:r>
              <w:rPr>
                <w:sz w:val="18"/>
              </w:rPr>
              <w:t>Naknade troškova zaposlenima (šifre 3211 do 3214)</w:t>
            </w:r>
          </w:p>
        </w:tc>
        <w:tc>
          <w:tcPr>
            <w:tcW w:w="700" w:type="dxa"/>
            <w:tcMar>
              <w:top w:w="0" w:type="dxa"/>
              <w:bottom w:w="0" w:type="dxa"/>
            </w:tcMar>
            <w:vAlign w:val="center"/>
          </w:tcPr>
          <w:p w:rsidR="00F549BD" w:rsidRDefault="00DC1E57">
            <w:pPr>
              <w:keepNext/>
              <w:keepLines/>
              <w:spacing w:after="0" w:line="240" w:lineRule="auto"/>
            </w:pPr>
            <w:r>
              <w:rPr>
                <w:sz w:val="18"/>
              </w:rPr>
              <w:t>321</w:t>
            </w:r>
          </w:p>
        </w:tc>
        <w:tc>
          <w:tcPr>
            <w:tcW w:w="1860" w:type="dxa"/>
            <w:tcMar>
              <w:top w:w="0" w:type="dxa"/>
              <w:bottom w:w="0" w:type="dxa"/>
            </w:tcMar>
            <w:vAlign w:val="center"/>
          </w:tcPr>
          <w:p w:rsidR="00F549BD" w:rsidRDefault="00DC1E57">
            <w:pPr>
              <w:keepNext/>
              <w:keepLines/>
              <w:spacing w:after="0" w:line="240" w:lineRule="auto"/>
              <w:jc w:val="right"/>
            </w:pPr>
            <w:r>
              <w:rPr>
                <w:sz w:val="18"/>
              </w:rPr>
              <w:t>16.060,40</w:t>
            </w:r>
          </w:p>
        </w:tc>
        <w:tc>
          <w:tcPr>
            <w:tcW w:w="1860" w:type="dxa"/>
            <w:tcMar>
              <w:top w:w="0" w:type="dxa"/>
              <w:bottom w:w="0" w:type="dxa"/>
            </w:tcMar>
            <w:vAlign w:val="center"/>
          </w:tcPr>
          <w:p w:rsidR="00F549BD" w:rsidRDefault="00DC1E57">
            <w:pPr>
              <w:keepNext/>
              <w:keepLines/>
              <w:spacing w:after="0" w:line="240" w:lineRule="auto"/>
              <w:jc w:val="right"/>
            </w:pPr>
            <w:r>
              <w:rPr>
                <w:sz w:val="18"/>
              </w:rPr>
              <w:t>19.792,24</w:t>
            </w:r>
          </w:p>
        </w:tc>
        <w:tc>
          <w:tcPr>
            <w:tcW w:w="700" w:type="dxa"/>
            <w:tcMar>
              <w:top w:w="0" w:type="dxa"/>
              <w:bottom w:w="0" w:type="dxa"/>
            </w:tcMar>
            <w:vAlign w:val="center"/>
          </w:tcPr>
          <w:p w:rsidR="00F549BD" w:rsidRDefault="00DC1E57">
            <w:pPr>
              <w:keepNext/>
              <w:keepLines/>
              <w:spacing w:after="0" w:line="240" w:lineRule="auto"/>
              <w:jc w:val="right"/>
            </w:pPr>
            <w:r>
              <w:rPr>
                <w:sz w:val="18"/>
              </w:rPr>
              <w:t>123,2</w:t>
            </w:r>
          </w:p>
        </w:tc>
      </w:tr>
    </w:tbl>
    <w:p w:rsidR="00F549BD" w:rsidRDefault="00F549BD">
      <w:pPr>
        <w:spacing w:after="0"/>
      </w:pPr>
    </w:p>
    <w:p w:rsidR="00F549BD" w:rsidRDefault="00DC1E57">
      <w:r>
        <w:t>Rashodi za naknade troškova zaposlenima bilježe porast od 12,1% u odnosu na prethodnu godinu. Navedeno povećanje izravna je posljedica intenzivnijih poslovnih aktivnosti u izvještajnom razdoblju, što uključuje veći broj službenih putovanja te pojačano sudj</w:t>
      </w:r>
      <w:r>
        <w:t>elovanje zaposlenika na stručnim usavršavanjima, tečajevima i edukacijama radi potreba poslovanja. </w:t>
      </w:r>
    </w:p>
    <w:p w:rsidR="00F549BD" w:rsidRDefault="00F549BD"/>
    <w:p w:rsidR="00F549BD" w:rsidRDefault="00DC1E57">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w:t>
            </w:r>
            <w:r>
              <w:rPr>
                <w:b/>
                <w:sz w:val="18"/>
              </w:rPr>
              <w:t>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323</w:t>
            </w:r>
          </w:p>
        </w:tc>
        <w:tc>
          <w:tcPr>
            <w:tcW w:w="3180" w:type="dxa"/>
            <w:tcMar>
              <w:top w:w="0" w:type="dxa"/>
              <w:bottom w:w="0" w:type="dxa"/>
            </w:tcMar>
            <w:vAlign w:val="center"/>
          </w:tcPr>
          <w:p w:rsidR="00F549BD" w:rsidRDefault="00DC1E57">
            <w:pPr>
              <w:keepNext/>
              <w:keepLines/>
              <w:spacing w:after="0" w:line="240" w:lineRule="auto"/>
            </w:pPr>
            <w:r>
              <w:rPr>
                <w:sz w:val="18"/>
              </w:rPr>
              <w:t>Rashodi za usluge (šifre 3231 do 3239)</w:t>
            </w:r>
          </w:p>
        </w:tc>
        <w:tc>
          <w:tcPr>
            <w:tcW w:w="700" w:type="dxa"/>
            <w:tcMar>
              <w:top w:w="0" w:type="dxa"/>
              <w:bottom w:w="0" w:type="dxa"/>
            </w:tcMar>
            <w:vAlign w:val="center"/>
          </w:tcPr>
          <w:p w:rsidR="00F549BD" w:rsidRDefault="00DC1E57">
            <w:pPr>
              <w:keepNext/>
              <w:keepLines/>
              <w:spacing w:after="0" w:line="240" w:lineRule="auto"/>
            </w:pPr>
            <w:r>
              <w:rPr>
                <w:sz w:val="18"/>
              </w:rPr>
              <w:t>323</w:t>
            </w:r>
          </w:p>
        </w:tc>
        <w:tc>
          <w:tcPr>
            <w:tcW w:w="1860" w:type="dxa"/>
            <w:tcMar>
              <w:top w:w="0" w:type="dxa"/>
              <w:bottom w:w="0" w:type="dxa"/>
            </w:tcMar>
            <w:vAlign w:val="center"/>
          </w:tcPr>
          <w:p w:rsidR="00F549BD" w:rsidRDefault="00DC1E57">
            <w:pPr>
              <w:keepNext/>
              <w:keepLines/>
              <w:spacing w:after="0" w:line="240" w:lineRule="auto"/>
              <w:jc w:val="right"/>
            </w:pPr>
            <w:r>
              <w:rPr>
                <w:sz w:val="18"/>
              </w:rPr>
              <w:t>58.508,92</w:t>
            </w:r>
          </w:p>
        </w:tc>
        <w:tc>
          <w:tcPr>
            <w:tcW w:w="1860" w:type="dxa"/>
            <w:tcMar>
              <w:top w:w="0" w:type="dxa"/>
              <w:bottom w:w="0" w:type="dxa"/>
            </w:tcMar>
            <w:vAlign w:val="center"/>
          </w:tcPr>
          <w:p w:rsidR="00F549BD" w:rsidRDefault="00DC1E57">
            <w:pPr>
              <w:keepNext/>
              <w:keepLines/>
              <w:spacing w:after="0" w:line="240" w:lineRule="auto"/>
              <w:jc w:val="right"/>
            </w:pPr>
            <w:r>
              <w:rPr>
                <w:sz w:val="18"/>
              </w:rPr>
              <w:t>73.368,91</w:t>
            </w:r>
          </w:p>
        </w:tc>
        <w:tc>
          <w:tcPr>
            <w:tcW w:w="700" w:type="dxa"/>
            <w:tcMar>
              <w:top w:w="0" w:type="dxa"/>
              <w:bottom w:w="0" w:type="dxa"/>
            </w:tcMar>
            <w:vAlign w:val="center"/>
          </w:tcPr>
          <w:p w:rsidR="00F549BD" w:rsidRDefault="00DC1E57">
            <w:pPr>
              <w:keepNext/>
              <w:keepLines/>
              <w:spacing w:after="0" w:line="240" w:lineRule="auto"/>
              <w:jc w:val="right"/>
            </w:pPr>
            <w:r>
              <w:rPr>
                <w:sz w:val="18"/>
              </w:rPr>
              <w:t>125,4</w:t>
            </w:r>
          </w:p>
        </w:tc>
      </w:tr>
    </w:tbl>
    <w:p w:rsidR="00F549BD" w:rsidRDefault="00F549BD">
      <w:pPr>
        <w:spacing w:after="0"/>
      </w:pPr>
    </w:p>
    <w:p w:rsidR="00F549BD" w:rsidRDefault="00DC1E57">
      <w:r>
        <w:t>Rashodi za usluge porasli su za 25,4 % u odnosu na prethodnu godinu, što je rezultat povečanih troškova usluga tekućeg i investicijskog održavanja građevinskih objekata, postrojenja i opreme. Dodatni utjecaj na rast ove skupine rashoda imala je i organizac</w:t>
      </w:r>
      <w:r>
        <w:t>ija obveznih periodičkih zdravstvenih pregleda zaposlenika i laboratoriskih usluga.</w:t>
      </w:r>
    </w:p>
    <w:p w:rsidR="00F549BD" w:rsidRDefault="00F549BD"/>
    <w:p w:rsidR="00F549BD" w:rsidRDefault="00DC1E57">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DC1E57">
            <w:pPr>
              <w:keepNext/>
              <w:keepLines/>
              <w:spacing w:after="0" w:line="240" w:lineRule="auto"/>
            </w:pPr>
            <w:r>
              <w:rPr>
                <w:sz w:val="18"/>
              </w:rPr>
              <w:t>422</w:t>
            </w:r>
          </w:p>
        </w:tc>
        <w:tc>
          <w:tcPr>
            <w:tcW w:w="3180" w:type="dxa"/>
            <w:tcMar>
              <w:top w:w="0" w:type="dxa"/>
              <w:bottom w:w="0" w:type="dxa"/>
            </w:tcMar>
            <w:vAlign w:val="center"/>
          </w:tcPr>
          <w:p w:rsidR="00F549BD" w:rsidRDefault="00DC1E57">
            <w:pPr>
              <w:keepNext/>
              <w:keepLines/>
              <w:spacing w:after="0" w:line="240" w:lineRule="auto"/>
            </w:pPr>
            <w:r>
              <w:rPr>
                <w:sz w:val="18"/>
              </w:rPr>
              <w:t>Postrojenja i oprema (šifre 4221 do 4228)</w:t>
            </w:r>
          </w:p>
        </w:tc>
        <w:tc>
          <w:tcPr>
            <w:tcW w:w="700" w:type="dxa"/>
            <w:tcMar>
              <w:top w:w="0" w:type="dxa"/>
              <w:bottom w:w="0" w:type="dxa"/>
            </w:tcMar>
            <w:vAlign w:val="center"/>
          </w:tcPr>
          <w:p w:rsidR="00F549BD" w:rsidRDefault="00DC1E57">
            <w:pPr>
              <w:keepNext/>
              <w:keepLines/>
              <w:spacing w:after="0" w:line="240" w:lineRule="auto"/>
            </w:pPr>
            <w:r>
              <w:rPr>
                <w:sz w:val="18"/>
              </w:rPr>
              <w:t>422</w:t>
            </w:r>
          </w:p>
        </w:tc>
        <w:tc>
          <w:tcPr>
            <w:tcW w:w="1860" w:type="dxa"/>
            <w:tcMar>
              <w:top w:w="0" w:type="dxa"/>
              <w:bottom w:w="0" w:type="dxa"/>
            </w:tcMar>
            <w:vAlign w:val="center"/>
          </w:tcPr>
          <w:p w:rsidR="00F549BD" w:rsidRDefault="00DC1E57">
            <w:pPr>
              <w:keepNext/>
              <w:keepLines/>
              <w:spacing w:after="0" w:line="240" w:lineRule="auto"/>
              <w:jc w:val="right"/>
            </w:pPr>
            <w:r>
              <w:rPr>
                <w:sz w:val="18"/>
              </w:rPr>
              <w:t>5.145,70</w:t>
            </w:r>
          </w:p>
        </w:tc>
        <w:tc>
          <w:tcPr>
            <w:tcW w:w="1860" w:type="dxa"/>
            <w:tcMar>
              <w:top w:w="0" w:type="dxa"/>
              <w:bottom w:w="0" w:type="dxa"/>
            </w:tcMar>
            <w:vAlign w:val="center"/>
          </w:tcPr>
          <w:p w:rsidR="00F549BD" w:rsidRDefault="00DC1E57">
            <w:pPr>
              <w:keepNext/>
              <w:keepLines/>
              <w:spacing w:after="0" w:line="240" w:lineRule="auto"/>
              <w:jc w:val="right"/>
            </w:pPr>
            <w:r>
              <w:rPr>
                <w:sz w:val="18"/>
              </w:rPr>
              <w:t>5.969,08</w:t>
            </w:r>
          </w:p>
        </w:tc>
        <w:tc>
          <w:tcPr>
            <w:tcW w:w="700" w:type="dxa"/>
            <w:tcMar>
              <w:top w:w="0" w:type="dxa"/>
              <w:bottom w:w="0" w:type="dxa"/>
            </w:tcMar>
            <w:vAlign w:val="center"/>
          </w:tcPr>
          <w:p w:rsidR="00F549BD" w:rsidRDefault="00DC1E57">
            <w:pPr>
              <w:keepNext/>
              <w:keepLines/>
              <w:spacing w:after="0" w:line="240" w:lineRule="auto"/>
              <w:jc w:val="right"/>
            </w:pPr>
            <w:r>
              <w:rPr>
                <w:sz w:val="18"/>
              </w:rPr>
              <w:t>116,0</w:t>
            </w:r>
          </w:p>
        </w:tc>
      </w:tr>
    </w:tbl>
    <w:p w:rsidR="00F549BD" w:rsidRDefault="00F549BD">
      <w:pPr>
        <w:spacing w:after="0"/>
      </w:pPr>
    </w:p>
    <w:p w:rsidR="00F549BD" w:rsidRDefault="00DC1E57">
      <w:r>
        <w:t>Rashodi za nabavu proizvedene dugotrajne imovine bilježe rast od 16% u odnosu na prethodnu godinu. Povećanje je rezultat nabave uredske opreme i namještaja potrebnih za redovno poslovanje. Realizacije nabave veće količine opreme potrebne za redovno poslova</w:t>
      </w:r>
      <w:r>
        <w:t>nje u ovom izvještajnom razdoblju</w:t>
      </w:r>
    </w:p>
    <w:p w:rsidR="00F549BD" w:rsidRDefault="00DC1E57">
      <w:r>
        <w:t> </w:t>
      </w:r>
    </w:p>
    <w:p w:rsidR="00F549BD" w:rsidRDefault="00F549BD"/>
    <w:p w:rsidR="00F549BD" w:rsidRDefault="00DC1E57">
      <w:pPr>
        <w:keepNext/>
        <w:spacing w:line="240" w:lineRule="auto"/>
        <w:jc w:val="center"/>
      </w:pPr>
      <w:r>
        <w:rPr>
          <w:b/>
          <w:sz w:val="28"/>
        </w:rPr>
        <w:lastRenderedPageBreak/>
        <w:t>Izvještaj o obvezama</w:t>
      </w:r>
    </w:p>
    <w:p w:rsidR="00F549BD" w:rsidRDefault="00DC1E57">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F549BD">
            <w:pPr>
              <w:keepNext/>
              <w:keepLines/>
              <w:spacing w:after="0" w:line="240" w:lineRule="auto"/>
            </w:pPr>
          </w:p>
        </w:tc>
        <w:tc>
          <w:tcPr>
            <w:tcW w:w="3180" w:type="dxa"/>
            <w:tcMar>
              <w:top w:w="0" w:type="dxa"/>
              <w:bottom w:w="0" w:type="dxa"/>
            </w:tcMar>
            <w:vAlign w:val="center"/>
          </w:tcPr>
          <w:p w:rsidR="00F549BD" w:rsidRDefault="00DC1E57">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F549BD" w:rsidRDefault="00DC1E57">
            <w:pPr>
              <w:keepNext/>
              <w:keepLines/>
              <w:spacing w:after="0" w:line="240" w:lineRule="auto"/>
            </w:pPr>
            <w:r>
              <w:rPr>
                <w:sz w:val="18"/>
              </w:rPr>
              <w:t>V007</w:t>
            </w:r>
          </w:p>
        </w:tc>
        <w:tc>
          <w:tcPr>
            <w:tcW w:w="1860" w:type="dxa"/>
            <w:tcMar>
              <w:top w:w="0" w:type="dxa"/>
              <w:bottom w:w="0" w:type="dxa"/>
            </w:tcMar>
            <w:vAlign w:val="center"/>
          </w:tcPr>
          <w:p w:rsidR="00F549BD" w:rsidRDefault="00DC1E57">
            <w:pPr>
              <w:keepNext/>
              <w:keepLines/>
              <w:spacing w:after="0" w:line="240" w:lineRule="auto"/>
              <w:jc w:val="right"/>
            </w:pPr>
            <w:r>
              <w:rPr>
                <w:sz w:val="18"/>
              </w:rPr>
              <w:t>0,00</w:t>
            </w:r>
          </w:p>
        </w:tc>
        <w:tc>
          <w:tcPr>
            <w:tcW w:w="700" w:type="dxa"/>
            <w:tcMar>
              <w:top w:w="0" w:type="dxa"/>
              <w:bottom w:w="0" w:type="dxa"/>
            </w:tcMar>
            <w:vAlign w:val="center"/>
          </w:tcPr>
          <w:p w:rsidR="00F549BD" w:rsidRDefault="00DC1E57">
            <w:pPr>
              <w:keepNext/>
              <w:keepLines/>
              <w:spacing w:after="0" w:line="240" w:lineRule="auto"/>
              <w:jc w:val="right"/>
            </w:pPr>
            <w:r>
              <w:rPr>
                <w:sz w:val="18"/>
              </w:rPr>
              <w:t>-</w:t>
            </w:r>
          </w:p>
        </w:tc>
      </w:tr>
    </w:tbl>
    <w:p w:rsidR="00F549BD" w:rsidRDefault="00F549BD">
      <w:pPr>
        <w:spacing w:after="0"/>
      </w:pPr>
    </w:p>
    <w:p w:rsidR="00F549BD" w:rsidRDefault="00DC1E57">
      <w:r>
        <w:t>Stanje dospjelih obveza na kraju razdoblja predstavlja ukupan iznos obveza koje na dan 30.06.2026. nisu podmirene. S obzirom da su sve obveze preostale nedospjele, a odnose se na plaću za 06/2026 godine koja dospijeva na plaćanje u 07/2026, te obveze za ra</w:t>
      </w:r>
      <w:r>
        <w:t>shode poslovanja i obveze za nabavu nefinancijske imovine koje dospijevaju također u 07/2026. </w:t>
      </w:r>
    </w:p>
    <w:p w:rsidR="00F549BD" w:rsidRDefault="00F549BD"/>
    <w:p w:rsidR="00F549BD" w:rsidRDefault="00DC1E57">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F549BD">
        <w:tblPrEx>
          <w:tblCellMar>
            <w:top w:w="0" w:type="dxa"/>
            <w:bottom w:w="0" w:type="dxa"/>
          </w:tblCellMar>
        </w:tblPrEx>
        <w:trPr>
          <w:cantSplit/>
        </w:trPr>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549BD" w:rsidRDefault="00DC1E57">
            <w:pPr>
              <w:keepNext/>
              <w:keepLines/>
              <w:spacing w:after="0" w:line="240" w:lineRule="auto"/>
              <w:jc w:val="center"/>
            </w:pPr>
            <w:r>
              <w:rPr>
                <w:b/>
                <w:sz w:val="18"/>
              </w:rPr>
              <w:t>Indeks (%)</w:t>
            </w:r>
          </w:p>
        </w:tc>
      </w:tr>
      <w:tr w:rsidR="00F549BD">
        <w:tblPrEx>
          <w:tblCellMar>
            <w:top w:w="0" w:type="dxa"/>
            <w:bottom w:w="0" w:type="dxa"/>
          </w:tblCellMar>
        </w:tblPrEx>
        <w:trPr>
          <w:cantSplit/>
          <w:trHeight w:val="560"/>
        </w:trPr>
        <w:tc>
          <w:tcPr>
            <w:tcW w:w="700" w:type="dxa"/>
            <w:tcMar>
              <w:top w:w="0" w:type="dxa"/>
              <w:bottom w:w="0" w:type="dxa"/>
            </w:tcMar>
            <w:vAlign w:val="center"/>
          </w:tcPr>
          <w:p w:rsidR="00F549BD" w:rsidRDefault="00F549BD">
            <w:pPr>
              <w:keepNext/>
              <w:keepLines/>
              <w:spacing w:after="0" w:line="240" w:lineRule="auto"/>
            </w:pPr>
          </w:p>
        </w:tc>
        <w:tc>
          <w:tcPr>
            <w:tcW w:w="3180" w:type="dxa"/>
            <w:tcMar>
              <w:top w:w="0" w:type="dxa"/>
              <w:bottom w:w="0" w:type="dxa"/>
            </w:tcMar>
            <w:vAlign w:val="center"/>
          </w:tcPr>
          <w:p w:rsidR="00F549BD" w:rsidRDefault="00DC1E57">
            <w:pPr>
              <w:keepNext/>
              <w:keepLines/>
              <w:spacing w:after="0" w:line="240" w:lineRule="auto"/>
            </w:pPr>
            <w:r>
              <w:rPr>
                <w:sz w:val="18"/>
              </w:rPr>
              <w:t>Međusobne obveze subjekata općeg proračuna</w:t>
            </w:r>
          </w:p>
        </w:tc>
        <w:tc>
          <w:tcPr>
            <w:tcW w:w="700" w:type="dxa"/>
            <w:tcMar>
              <w:top w:w="0" w:type="dxa"/>
              <w:bottom w:w="0" w:type="dxa"/>
            </w:tcMar>
            <w:vAlign w:val="center"/>
          </w:tcPr>
          <w:p w:rsidR="00F549BD" w:rsidRDefault="00DC1E57">
            <w:pPr>
              <w:keepNext/>
              <w:keepLines/>
              <w:spacing w:after="0" w:line="240" w:lineRule="auto"/>
            </w:pPr>
            <w:r>
              <w:rPr>
                <w:sz w:val="18"/>
              </w:rPr>
              <w:t>V010</w:t>
            </w:r>
          </w:p>
        </w:tc>
        <w:tc>
          <w:tcPr>
            <w:tcW w:w="1860" w:type="dxa"/>
            <w:tcMar>
              <w:top w:w="0" w:type="dxa"/>
              <w:bottom w:w="0" w:type="dxa"/>
            </w:tcMar>
            <w:vAlign w:val="center"/>
          </w:tcPr>
          <w:p w:rsidR="00F549BD" w:rsidRDefault="00DC1E57">
            <w:pPr>
              <w:keepNext/>
              <w:keepLines/>
              <w:spacing w:after="0" w:line="240" w:lineRule="auto"/>
              <w:jc w:val="right"/>
            </w:pPr>
            <w:r>
              <w:rPr>
                <w:sz w:val="18"/>
              </w:rPr>
              <w:t>1.824,06</w:t>
            </w:r>
          </w:p>
        </w:tc>
        <w:tc>
          <w:tcPr>
            <w:tcW w:w="700" w:type="dxa"/>
            <w:tcMar>
              <w:top w:w="0" w:type="dxa"/>
              <w:bottom w:w="0" w:type="dxa"/>
            </w:tcMar>
            <w:vAlign w:val="center"/>
          </w:tcPr>
          <w:p w:rsidR="00F549BD" w:rsidRDefault="00DC1E57">
            <w:pPr>
              <w:keepNext/>
              <w:keepLines/>
              <w:spacing w:after="0" w:line="240" w:lineRule="auto"/>
              <w:jc w:val="right"/>
            </w:pPr>
            <w:r>
              <w:rPr>
                <w:sz w:val="18"/>
              </w:rPr>
              <w:t>-</w:t>
            </w:r>
          </w:p>
        </w:tc>
      </w:tr>
    </w:tbl>
    <w:p w:rsidR="00F549BD" w:rsidRDefault="00F549BD">
      <w:pPr>
        <w:spacing w:after="0"/>
      </w:pPr>
    </w:p>
    <w:p w:rsidR="00F549BD" w:rsidRDefault="00DC1E57">
      <w:r>
        <w:t>Unutar pozicije Međusobni odnosi subjekata općeg proračuna iskazana su potraživanja, odnosno obveze za povrat u proračun. Navedeni iznosi se u cijelosti odnose na potraživanja za bolovanja (naknade plaće) koja se refundiraju na teret Hrvatskog zavoda za zd</w:t>
      </w:r>
      <w:r>
        <w:t>ravstveno osiguranje (HZZO).</w:t>
      </w:r>
    </w:p>
    <w:p w:rsidR="00F549BD" w:rsidRDefault="00F549BD"/>
    <w:p w:rsidR="00F549BD" w:rsidRDefault="00DC1E57">
      <w:pPr>
        <w:keepNext/>
        <w:spacing w:line="240" w:lineRule="auto"/>
        <w:jc w:val="center"/>
      </w:pPr>
      <w:r>
        <w:rPr>
          <w:sz w:val="28"/>
        </w:rPr>
        <w:t>Bilješka 11.</w:t>
      </w:r>
    </w:p>
    <w:p w:rsidR="00F549BD" w:rsidRDefault="00DC1E57">
      <w:pPr>
        <w:spacing w:line="240" w:lineRule="auto"/>
        <w:jc w:val="both"/>
      </w:pPr>
      <w:r>
        <w:rPr>
          <w:b/>
        </w:rPr>
        <w:t>EU izvještaj</w:t>
      </w:r>
    </w:p>
    <w:p w:rsidR="00F549BD" w:rsidRDefault="00DC1E57">
      <w:r>
        <w:t>U financijskom izvještaju za izvještajno razdoblje u okviru EU sredstava iskazani su prihodi i rashodi financirani iz dva izvora.</w:t>
      </w:r>
    </w:p>
    <w:p w:rsidR="00F549BD" w:rsidRDefault="00DC1E57">
      <w:r>
        <w:t>Iz izvora 561 – Europski socijalni fond plus evidentirani su prihodi i</w:t>
      </w:r>
      <w:r>
        <w:t xml:space="preserve"> rashodi koji se odnose na financiranje plaća pomoćnika u nastavi. Navedena sredstva korištena su u skladu s odobrenim projektima i važećim propisima, s ciljem osiguravanja potpore učenicima s teškoćama u razvoju.</w:t>
      </w:r>
    </w:p>
    <w:p w:rsidR="00F549BD" w:rsidRDefault="00DC1E57">
      <w:r>
        <w:t>Iz izvora 565 – Europski poljoprivredni fo</w:t>
      </w:r>
      <w:r>
        <w:t>nd za ruralni razvoj iskazani su prihodi i rashodi vezani uz provedbu projekta Shema školskog voća u osnovnim školama. Sredstva su utrošena za realizaciju aktivnosti usmjerenih na promicanje pravilne i zdrave prehrane.</w:t>
      </w:r>
    </w:p>
    <w:p w:rsidR="00F549BD" w:rsidRDefault="00F549BD"/>
    <w:sectPr w:rsidR="00F549B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BD"/>
    <w:rsid w:val="00DC1E57"/>
    <w:rsid w:val="00F549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5672EE-5003-47B7-A5AF-4D31892A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RACUNOVODSTVO</dc:creator>
  <cp:lastModifiedBy>Marija Prkačin</cp:lastModifiedBy>
  <cp:revision>2</cp:revision>
  <dcterms:created xsi:type="dcterms:W3CDTF">2026-07-17T07:26:00Z</dcterms:created>
  <dcterms:modified xsi:type="dcterms:W3CDTF">2026-07-17T07:26:00Z</dcterms:modified>
</cp:coreProperties>
</file>